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E5" w:rsidRDefault="004F785C" w:rsidP="004F785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 xml:space="preserve">Les </w:t>
      </w:r>
      <w:proofErr w:type="spellStart"/>
      <w:r>
        <w:rPr>
          <w:b/>
          <w:u w:val="single"/>
        </w:rPr>
        <w:t>phytopathogène</w:t>
      </w:r>
      <w:proofErr w:type="spellEnd"/>
      <w:r>
        <w:rPr>
          <w:b/>
          <w:u w:val="single"/>
        </w:rPr>
        <w:t xml:space="preserve"> nécrotrophes</w:t>
      </w:r>
    </w:p>
    <w:p w:rsidR="004F785C" w:rsidRDefault="004F785C" w:rsidP="004F785C">
      <w:pPr>
        <w:spacing w:after="0"/>
        <w:jc w:val="both"/>
        <w:rPr>
          <w:b/>
          <w:u w:val="single"/>
        </w:rPr>
      </w:pPr>
    </w:p>
    <w:p w:rsidR="004F785C" w:rsidRDefault="004F785C" w:rsidP="004F785C">
      <w:pPr>
        <w:spacing w:after="0"/>
        <w:jc w:val="both"/>
      </w:pPr>
      <w:r>
        <w:t>-L’ensemble de fonctions pathogènes sont codées par des gènes ubiquistes dont les homologues sont présents chez les saprophytes (hydrolases, réponse au stress…)</w:t>
      </w:r>
    </w:p>
    <w:p w:rsidR="004F785C" w:rsidRDefault="004F785C" w:rsidP="004F785C">
      <w:pPr>
        <w:spacing w:after="0"/>
        <w:jc w:val="both"/>
      </w:pPr>
      <w:r>
        <w:t xml:space="preserve">-Cependant la spécificité d’hôte existe donc il existe des </w:t>
      </w:r>
      <w:r>
        <w:rPr>
          <w:b/>
        </w:rPr>
        <w:t>facteurs de virulence spécifiques.</w:t>
      </w:r>
    </w:p>
    <w:p w:rsidR="004F785C" w:rsidRDefault="004F785C" w:rsidP="004F785C">
      <w:pPr>
        <w:spacing w:after="0"/>
        <w:jc w:val="both"/>
      </w:pPr>
      <w:r>
        <w:t>-Système équivalent aux gènes d’</w:t>
      </w:r>
      <w:proofErr w:type="spellStart"/>
      <w:r>
        <w:t>avirulence</w:t>
      </w:r>
      <w:proofErr w:type="spellEnd"/>
      <w:r>
        <w:t> : toxine hôte spécifique ?</w:t>
      </w:r>
    </w:p>
    <w:p w:rsidR="004F785C" w:rsidRDefault="004F785C" w:rsidP="004F785C">
      <w:pPr>
        <w:spacing w:after="0"/>
        <w:jc w:val="both"/>
      </w:pPr>
      <w:r>
        <w:t xml:space="preserve">-Aucune plante n’a de résistance aux champignons nécrotrophes. </w:t>
      </w:r>
    </w:p>
    <w:p w:rsidR="004F785C" w:rsidRDefault="004F785C" w:rsidP="004F785C">
      <w:pPr>
        <w:spacing w:after="0"/>
        <w:jc w:val="both"/>
      </w:pPr>
      <w:r>
        <w:t xml:space="preserve">-On a retrouvé des gènes que l’on retrouve habituellement chez les rouilles. On </w:t>
      </w:r>
      <w:proofErr w:type="gramStart"/>
      <w:r>
        <w:t>a</w:t>
      </w:r>
      <w:proofErr w:type="gramEnd"/>
      <w:r>
        <w:t xml:space="preserve"> des traces d’acquisition du pool </w:t>
      </w:r>
      <w:proofErr w:type="spellStart"/>
      <w:r>
        <w:t>métagénomique</w:t>
      </w:r>
      <w:proofErr w:type="spellEnd"/>
      <w:r>
        <w:t>, c’est peut-être pour ça qu’on retrouve ces gènes.</w:t>
      </w:r>
    </w:p>
    <w:p w:rsidR="004F785C" w:rsidRDefault="004F785C" w:rsidP="004F785C">
      <w:pPr>
        <w:spacing w:after="0"/>
        <w:jc w:val="both"/>
      </w:pPr>
      <w:r>
        <w:t xml:space="preserve">-Ces effecteurs se trouvent dans des régions répétées du génome. </w:t>
      </w:r>
    </w:p>
    <w:p w:rsidR="004F785C" w:rsidRDefault="004F785C" w:rsidP="004F785C">
      <w:pPr>
        <w:spacing w:after="0"/>
        <w:jc w:val="both"/>
      </w:pPr>
      <w:r>
        <w:t>-La mort cellulaire favorise le pathogène, limite la production des ROS ou sert de signal pour la sporulation.</w:t>
      </w:r>
    </w:p>
    <w:p w:rsidR="001F4029" w:rsidRDefault="001F4029" w:rsidP="004F785C">
      <w:pPr>
        <w:spacing w:after="0"/>
        <w:jc w:val="both"/>
      </w:pPr>
    </w:p>
    <w:p w:rsidR="001F4029" w:rsidRPr="001F4029" w:rsidRDefault="001F4029" w:rsidP="004F785C">
      <w:pPr>
        <w:spacing w:after="0"/>
        <w:jc w:val="both"/>
        <w:rPr>
          <w:b/>
        </w:rPr>
      </w:pPr>
      <w:r>
        <w:t xml:space="preserve">-Les champignons nécrotrophes sur les fraises par exemple : pourriture grise </w:t>
      </w:r>
      <w:r>
        <w:rPr>
          <w:i/>
        </w:rPr>
        <w:t xml:space="preserve"> </w:t>
      </w:r>
      <w:proofErr w:type="spellStart"/>
      <w:r>
        <w:rPr>
          <w:i/>
        </w:rPr>
        <w:t>Bodritis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cinerea</w:t>
      </w:r>
      <w:proofErr w:type="spellEnd"/>
      <w:r>
        <w:t>. Première phase : reconnaissance, production d’agent toxique, stade de défense de la plante et enfin stade de destruction de la plante. Absence de dialogue plante/champignon vu que la plante est morte.</w:t>
      </w:r>
    </w:p>
    <w:p w:rsidR="001F4029" w:rsidRDefault="001F4029" w:rsidP="004F785C">
      <w:pPr>
        <w:spacing w:after="0"/>
        <w:jc w:val="both"/>
      </w:pPr>
      <w:r w:rsidRPr="001F4029">
        <w:rPr>
          <w:b/>
        </w:rPr>
        <w:t xml:space="preserve">-Structure d’infection peu développée chez </w:t>
      </w:r>
      <w:proofErr w:type="gramStart"/>
      <w:r w:rsidRPr="001F4029">
        <w:rPr>
          <w:b/>
        </w:rPr>
        <w:t>les nécro</w:t>
      </w:r>
      <w:proofErr w:type="gramEnd"/>
      <w:r>
        <w:t xml:space="preserve"> </w:t>
      </w:r>
      <w:r>
        <w:sym w:font="Wingdings" w:char="F0E8"/>
      </w:r>
      <w:r>
        <w:t xml:space="preserve"> Mort cellulaire chez l’hôte par du </w:t>
      </w:r>
      <w:proofErr w:type="spellStart"/>
      <w:r>
        <w:t>burst</w:t>
      </w:r>
      <w:proofErr w:type="spellEnd"/>
      <w:r>
        <w:t xml:space="preserve"> oxydatif et par la production de toxine (</w:t>
      </w:r>
      <w:proofErr w:type="spellStart"/>
      <w:r>
        <w:t>botrydial</w:t>
      </w:r>
      <w:proofErr w:type="spellEnd"/>
      <w:r>
        <w:t>).</w:t>
      </w:r>
    </w:p>
    <w:p w:rsidR="001F4029" w:rsidRDefault="001F4029" w:rsidP="004F785C">
      <w:pPr>
        <w:spacing w:after="0"/>
        <w:jc w:val="both"/>
      </w:pPr>
      <w:r>
        <w:t>-</w:t>
      </w:r>
      <w:r>
        <w:rPr>
          <w:b/>
        </w:rPr>
        <w:t>Arsenal de dégradation enzymatique</w:t>
      </w:r>
      <w:r>
        <w:t>.</w:t>
      </w:r>
    </w:p>
    <w:p w:rsidR="001F4029" w:rsidRDefault="001F4029" w:rsidP="004F785C">
      <w:pPr>
        <w:spacing w:after="0"/>
        <w:jc w:val="both"/>
      </w:pPr>
      <w:r>
        <w:t xml:space="preserve">-Cycle </w:t>
      </w:r>
      <w:proofErr w:type="spellStart"/>
      <w:r>
        <w:t>bodritys</w:t>
      </w:r>
      <w:proofErr w:type="spellEnd"/>
      <w:r>
        <w:t xml:space="preserve"> : </w:t>
      </w:r>
      <w:proofErr w:type="spellStart"/>
      <w:r>
        <w:t>Cf</w:t>
      </w:r>
      <w:proofErr w:type="spellEnd"/>
      <w:r>
        <w:t xml:space="preserve"> diapo.</w:t>
      </w:r>
    </w:p>
    <w:p w:rsidR="00CB6BAD" w:rsidRDefault="001F4029" w:rsidP="004F785C">
      <w:pPr>
        <w:spacing w:after="0"/>
        <w:jc w:val="both"/>
      </w:pPr>
      <w:r>
        <w:t xml:space="preserve">-Pourriture grise et </w:t>
      </w:r>
      <w:proofErr w:type="spellStart"/>
      <w:r>
        <w:t>sclerotinia</w:t>
      </w:r>
      <w:proofErr w:type="spellEnd"/>
      <w:r>
        <w:t xml:space="preserve"> sont des très bons modèles. Avec pleins d’hôtes potentiels. Lutte : fongicide, mais problème car présence de souches résistantes. Stratégie alternative : pratiques culturales spécifiques pour éviter la contami</w:t>
      </w:r>
      <w:r w:rsidR="00CB6BAD">
        <w:t xml:space="preserve">nation fongique (humidité </w:t>
      </w:r>
      <w:proofErr w:type="spellStart"/>
      <w:r w:rsidR="00CB6BAD">
        <w:t>etc</w:t>
      </w:r>
      <w:proofErr w:type="spellEnd"/>
      <w:r w:rsidR="00CB6BAD">
        <w:t>).</w:t>
      </w:r>
    </w:p>
    <w:p w:rsidR="00CB6BAD" w:rsidRDefault="00CB6BAD" w:rsidP="004F785C">
      <w:pPr>
        <w:spacing w:after="0"/>
        <w:jc w:val="both"/>
      </w:pPr>
    </w:p>
    <w:p w:rsidR="00CB6BAD" w:rsidRDefault="00CB6BAD" w:rsidP="004F785C">
      <w:pPr>
        <w:spacing w:after="0"/>
        <w:jc w:val="both"/>
        <w:rPr>
          <w:u w:val="single"/>
        </w:rPr>
      </w:pPr>
      <w:r>
        <w:rPr>
          <w:u w:val="single"/>
        </w:rPr>
        <w:t>Mort cellulaire et contournement des défenses des plantes.</w:t>
      </w:r>
    </w:p>
    <w:p w:rsidR="00CB6BAD" w:rsidRDefault="00CB6BAD" w:rsidP="004F785C">
      <w:pPr>
        <w:spacing w:after="0"/>
        <w:jc w:val="both"/>
      </w:pPr>
      <w:r>
        <w:t>-Induction de l’explosion oxydative de l’hôte. Plus cette réaction hypersensible est forte, plus le pathogène sera virulent.</w:t>
      </w:r>
    </w:p>
    <w:p w:rsidR="001F4029" w:rsidRDefault="001F4029" w:rsidP="004F785C">
      <w:pPr>
        <w:spacing w:after="0"/>
        <w:jc w:val="both"/>
      </w:pPr>
      <w:r>
        <w:t xml:space="preserve"> </w:t>
      </w:r>
      <w:r w:rsidR="00CB6BAD">
        <w:t xml:space="preserve">-DPI : </w:t>
      </w:r>
      <w:proofErr w:type="spellStart"/>
      <w:r w:rsidR="00CB6BAD">
        <w:t>Diphényl</w:t>
      </w:r>
      <w:proofErr w:type="spellEnd"/>
      <w:r w:rsidR="00CB6BAD">
        <w:t xml:space="preserve"> … : bloque la réponse hypersensible.</w:t>
      </w:r>
    </w:p>
    <w:p w:rsidR="00CB6BAD" w:rsidRDefault="00CB6BAD" w:rsidP="004F785C">
      <w:pPr>
        <w:spacing w:after="0"/>
        <w:jc w:val="both"/>
      </w:pPr>
      <w:r>
        <w:t>-Plus on fait produire de l’O</w:t>
      </w:r>
      <w:r>
        <w:rPr>
          <w:vertAlign w:val="subscript"/>
        </w:rPr>
        <w:t>2</w:t>
      </w:r>
      <w:r>
        <w:t xml:space="preserve"> dans la plante plus on a de dégâts.</w:t>
      </w:r>
    </w:p>
    <w:p w:rsidR="00CB6BAD" w:rsidRDefault="00CB6BAD" w:rsidP="004F785C">
      <w:pPr>
        <w:spacing w:after="0"/>
        <w:jc w:val="both"/>
      </w:pPr>
      <w:r>
        <w:t xml:space="preserve">-Si on met un gène </w:t>
      </w:r>
      <w:proofErr w:type="spellStart"/>
      <w:r>
        <w:t>antisens</w:t>
      </w:r>
      <w:proofErr w:type="spellEnd"/>
      <w:r>
        <w:t xml:space="preserve"> de catalase : on inhibe la catalase donc on a encore plus de dégâts.</w:t>
      </w:r>
    </w:p>
    <w:p w:rsidR="00CB6BAD" w:rsidRDefault="00CB6BAD" w:rsidP="004F785C">
      <w:pPr>
        <w:spacing w:after="0"/>
        <w:jc w:val="both"/>
      </w:pPr>
    </w:p>
    <w:p w:rsidR="00CB6BAD" w:rsidRDefault="00CB6BAD" w:rsidP="004F785C">
      <w:pPr>
        <w:spacing w:after="0"/>
        <w:jc w:val="both"/>
      </w:pPr>
      <w:r>
        <w:t>-Les pathogènes nécrotrophes pourraient induire la mort cellulaire programmée chez l’hôte. Les scientifiques ont voulu empêcher la plante d’entrer en apoptose.</w:t>
      </w:r>
    </w:p>
    <w:p w:rsidR="00CB6BAD" w:rsidRDefault="00CB6BAD" w:rsidP="004F785C">
      <w:pPr>
        <w:spacing w:after="0"/>
        <w:jc w:val="both"/>
      </w:pPr>
      <w:r>
        <w:t xml:space="preserve">-Bcl2 ou CED9 transgènes. V : vecteur vide, pas de </w:t>
      </w:r>
      <w:proofErr w:type="spellStart"/>
      <w:r>
        <w:t>gène</w:t>
      </w:r>
      <w:proofErr w:type="spellEnd"/>
      <w:r>
        <w:t xml:space="preserve"> anti apoptose.</w:t>
      </w:r>
    </w:p>
    <w:p w:rsidR="00CB6BAD" w:rsidRDefault="00CB6BAD" w:rsidP="004F785C">
      <w:pPr>
        <w:spacing w:after="0"/>
        <w:jc w:val="both"/>
      </w:pPr>
      <w:r>
        <w:t>-Ce qu’on voit : quand on fait exprimer les gènes anti apoptotiques on a moins d’infection.</w:t>
      </w:r>
    </w:p>
    <w:p w:rsidR="00CB6BAD" w:rsidRDefault="00CB6BAD" w:rsidP="004F785C">
      <w:pPr>
        <w:spacing w:after="0"/>
        <w:jc w:val="both"/>
      </w:pPr>
      <w:r>
        <w:t>-En dessous : autre pathogène.</w:t>
      </w:r>
    </w:p>
    <w:p w:rsidR="00CB6BAD" w:rsidRDefault="00A2207B" w:rsidP="004F785C">
      <w:pPr>
        <w:spacing w:after="0"/>
        <w:jc w:val="both"/>
      </w:pPr>
      <w:r>
        <w:t>-Les plantes transgénique exprimant des gènes anti apoptose n’exprime plus l’infection.</w:t>
      </w:r>
    </w:p>
    <w:p w:rsidR="00A2207B" w:rsidRDefault="00B50474" w:rsidP="004F785C">
      <w:pPr>
        <w:spacing w:after="0"/>
        <w:jc w:val="both"/>
      </w:pPr>
      <w:r>
        <w:t>-On voit que Bcl-2 interfère avec la propagation des ROS.</w:t>
      </w:r>
    </w:p>
    <w:p w:rsidR="00B50474" w:rsidRDefault="00B50474" w:rsidP="004F785C">
      <w:pPr>
        <w:spacing w:after="0"/>
        <w:jc w:val="both"/>
      </w:pPr>
      <w:r>
        <w:t>-</w:t>
      </w:r>
      <w:proofErr w:type="spellStart"/>
      <w:r>
        <w:t>Paraquat</w:t>
      </w:r>
      <w:proofErr w:type="spellEnd"/>
      <w:r>
        <w:t xml:space="preserve"> : herbicide qui provoque un stress oxydant intra cellulaire chez la plante. Si une plante est transgène pour </w:t>
      </w:r>
      <w:proofErr w:type="spellStart"/>
      <w:r>
        <w:t>Bcl</w:t>
      </w:r>
      <w:proofErr w:type="spellEnd"/>
      <w:r>
        <w:t>-XL et CED9 elle est résistante.</w:t>
      </w:r>
    </w:p>
    <w:p w:rsidR="00B50474" w:rsidRDefault="00B50474" w:rsidP="004F785C">
      <w:pPr>
        <w:spacing w:after="0"/>
        <w:jc w:val="both"/>
      </w:pPr>
      <w:r>
        <w:t>-La mort cellulaire est nécessaire au nécrotrophe par la production de ROS intracellulaire.</w:t>
      </w:r>
    </w:p>
    <w:p w:rsidR="00B50474" w:rsidRDefault="00B50474" w:rsidP="004F785C">
      <w:pPr>
        <w:spacing w:after="0"/>
        <w:jc w:val="both"/>
      </w:pPr>
    </w:p>
    <w:p w:rsidR="00B50474" w:rsidRDefault="00B50474" w:rsidP="004F785C">
      <w:pPr>
        <w:spacing w:after="0"/>
        <w:jc w:val="both"/>
      </w:pPr>
    </w:p>
    <w:p w:rsidR="00B50474" w:rsidRDefault="00B50474" w:rsidP="004F785C">
      <w:pPr>
        <w:spacing w:after="0"/>
        <w:jc w:val="both"/>
      </w:pPr>
    </w:p>
    <w:p w:rsidR="00B50474" w:rsidRDefault="00B50474" w:rsidP="004F785C">
      <w:pPr>
        <w:spacing w:after="0"/>
        <w:jc w:val="both"/>
      </w:pPr>
      <w:r>
        <w:rPr>
          <w:u w:val="single"/>
        </w:rPr>
        <w:lastRenderedPageBreak/>
        <w:t>Toxine : acide oxalique.</w:t>
      </w:r>
    </w:p>
    <w:p w:rsidR="00B50474" w:rsidRDefault="00B50474" w:rsidP="004F785C">
      <w:pPr>
        <w:spacing w:after="0"/>
        <w:jc w:val="both"/>
      </w:pPr>
      <w:r>
        <w:t>-Très important, produit en masse par certains nécrotrophes.</w:t>
      </w:r>
    </w:p>
    <w:p w:rsidR="00B50474" w:rsidRDefault="00B50474" w:rsidP="004F785C">
      <w:pPr>
        <w:spacing w:after="0"/>
        <w:jc w:val="both"/>
      </w:pPr>
      <w:r>
        <w:t>-Forte production d’acide oxalique et d’</w:t>
      </w:r>
      <w:r w:rsidR="000A1649">
        <w:t>ion ammonium selon le</w:t>
      </w:r>
      <w:r>
        <w:t>s</w:t>
      </w:r>
      <w:r w:rsidR="000A1649">
        <w:t xml:space="preserve"> </w:t>
      </w:r>
      <w:r>
        <w:t>nécrotrophes.</w:t>
      </w:r>
    </w:p>
    <w:p w:rsidR="00B50474" w:rsidRDefault="00B50474" w:rsidP="004F785C">
      <w:pPr>
        <w:spacing w:after="0"/>
        <w:jc w:val="both"/>
      </w:pPr>
      <w:r>
        <w:t>-Les ions ammoniums viennent de la dégradation des protéines.</w:t>
      </w:r>
    </w:p>
    <w:p w:rsidR="00B50474" w:rsidRDefault="00B50474" w:rsidP="004F785C">
      <w:pPr>
        <w:spacing w:after="0"/>
        <w:jc w:val="both"/>
      </w:pPr>
      <w:r>
        <w:t>-On isole un mutant ne produisant pas d’acide oxalique. Ce qu’on remarque c’est que le mutant n’est pas infectieux.</w:t>
      </w:r>
    </w:p>
    <w:p w:rsidR="00B50474" w:rsidRDefault="00B50474" w:rsidP="004F785C">
      <w:pPr>
        <w:spacing w:after="0"/>
        <w:jc w:val="both"/>
      </w:pPr>
      <w:r>
        <w:t xml:space="preserve">-L’acide oxalique a deux fonctions acides, c’est </w:t>
      </w:r>
      <w:proofErr w:type="gramStart"/>
      <w:r>
        <w:t>un</w:t>
      </w:r>
      <w:proofErr w:type="gramEnd"/>
      <w:r>
        <w:t xml:space="preserve"> molécule produite en grande quantité.</w:t>
      </w:r>
    </w:p>
    <w:p w:rsidR="00B50474" w:rsidRDefault="00B50474" w:rsidP="004F785C">
      <w:pPr>
        <w:spacing w:after="0"/>
        <w:jc w:val="both"/>
      </w:pPr>
      <w:r>
        <w:t xml:space="preserve">-Pour le nécrotrophe, il s’agit d’une stratégie </w:t>
      </w:r>
      <w:proofErr w:type="spellStart"/>
      <w:r>
        <w:t>phytotoxique</w:t>
      </w:r>
      <w:proofErr w:type="spellEnd"/>
      <w:r>
        <w:t xml:space="preserve">. </w:t>
      </w:r>
      <w:r w:rsidR="000A1649">
        <w:t>Ça</w:t>
      </w:r>
      <w:r>
        <w:t xml:space="preserve"> a aussi un autre effet de modifier le pH ambiant. Quand on mute </w:t>
      </w:r>
      <w:proofErr w:type="spellStart"/>
      <w:r>
        <w:t>oxa</w:t>
      </w:r>
      <w:proofErr w:type="spellEnd"/>
      <w:r>
        <w:t>, on observe qu’on n’aura pas les mêmes enzymes sécrétées. Le fait que la souche sécrète de l’acide oxalique modifie le pH important pour la sécrétion de certaines enzymes.</w:t>
      </w:r>
    </w:p>
    <w:p w:rsidR="000A1649" w:rsidRDefault="000A1649" w:rsidP="004F785C">
      <w:pPr>
        <w:spacing w:after="0"/>
        <w:jc w:val="both"/>
      </w:pPr>
      <w:r>
        <w:t>-Certaines plantes sont équipées d’enzymes pour dégrader l’oxalate (oxalate oxydase ou oxalate décarboxylase).</w:t>
      </w:r>
    </w:p>
    <w:p w:rsidR="000A1649" w:rsidRDefault="000A1649" w:rsidP="004F785C">
      <w:pPr>
        <w:spacing w:after="0"/>
        <w:jc w:val="both"/>
      </w:pPr>
      <w:r>
        <w:t xml:space="preserve">-Effet oxalate : </w:t>
      </w:r>
      <w:proofErr w:type="spellStart"/>
      <w:r>
        <w:t>Cf</w:t>
      </w:r>
      <w:proofErr w:type="spellEnd"/>
      <w:r>
        <w:t xml:space="preserve"> diapo.</w:t>
      </w:r>
    </w:p>
    <w:p w:rsidR="000A1649" w:rsidRDefault="000A1649" w:rsidP="004F785C">
      <w:pPr>
        <w:spacing w:after="0"/>
        <w:jc w:val="both"/>
      </w:pPr>
      <w:r>
        <w:t>-Acide oxalique et interférence avec la mort cellulaire. On voit que si on injecte du citrate à différent pH on n’induit rien du tout. Par contre quand on injecte de l’oxalate et qu’on fait varier le pH, on voit que c’est seulement au pH 5 et 6 qu’on a un effet de l’acide oxalique. C’est donc l’oxalate lui-même qui joue un rôle dans la réponse de la plante et non la variation du pH due à l’oxalate.</w:t>
      </w:r>
    </w:p>
    <w:p w:rsidR="000A1649" w:rsidRDefault="000A1649" w:rsidP="000A1649">
      <w:pPr>
        <w:spacing w:after="0"/>
        <w:jc w:val="both"/>
      </w:pPr>
      <w:r>
        <w:t>-recherche de quelle voie de signalisation était impliquée dans l’affaire de l’oxalate.</w:t>
      </w:r>
      <w:r w:rsidR="00EF47BD">
        <w:t xml:space="preserve"> La synthèse protéique n’est pas impliquée, ni celle du calcium.</w:t>
      </w:r>
    </w:p>
    <w:p w:rsidR="00EF47BD" w:rsidRDefault="00EF47BD" w:rsidP="000A1649">
      <w:pPr>
        <w:spacing w:after="0"/>
        <w:jc w:val="both"/>
      </w:pPr>
      <w:r>
        <w:t>-</w:t>
      </w:r>
      <w:proofErr w:type="spellStart"/>
      <w:r>
        <w:t>Vérapamile</w:t>
      </w:r>
      <w:proofErr w:type="spellEnd"/>
      <w:r>
        <w:t> : inhibiteur de pompes calciques.</w:t>
      </w:r>
    </w:p>
    <w:p w:rsidR="00795239" w:rsidRDefault="00EF47BD" w:rsidP="000A1649">
      <w:pPr>
        <w:spacing w:after="0"/>
        <w:jc w:val="both"/>
      </w:pPr>
      <w:r>
        <w:t>-En 2011, on montre que l’oxalate sécrété supprime les défenses de l’</w:t>
      </w:r>
      <w:r w:rsidR="00625723">
        <w:t>hôte en mani</w:t>
      </w:r>
      <w:r>
        <w:t>pulant l’environnement redox de l’hôte.</w:t>
      </w:r>
      <w:r w:rsidR="00625723">
        <w:t xml:space="preserve"> En utilisant des marqueurs de HR ils visualisent le </w:t>
      </w:r>
      <w:proofErr w:type="spellStart"/>
      <w:r w:rsidR="00625723">
        <w:t>burst</w:t>
      </w:r>
      <w:proofErr w:type="spellEnd"/>
      <w:r w:rsidR="00625723">
        <w:t xml:space="preserve"> oxydatif. En mettant un système particulier rapporteur chez la plante en utilisant une protéine </w:t>
      </w:r>
      <w:proofErr w:type="spellStart"/>
      <w:r w:rsidR="00625723">
        <w:t>ro</w:t>
      </w:r>
      <w:proofErr w:type="spellEnd"/>
      <w:r w:rsidR="00625723">
        <w:t>-GFP. Pour exciter cette fluo ils ont excité à 410nm quand on a un état oxydé et à 474nm quand on a un état réduit.</w:t>
      </w:r>
    </w:p>
    <w:p w:rsidR="00795239" w:rsidRDefault="00795239" w:rsidP="000A1649">
      <w:pPr>
        <w:spacing w:after="0"/>
        <w:jc w:val="both"/>
      </w:pPr>
      <w:r>
        <w:t>-Quand on excite à 474 et qu’on ne voit rien cela signifie qu’on a un état oxydé et donc le champi ne peut pas se développer. L’oxalate réduit l’environnement.</w:t>
      </w:r>
    </w:p>
    <w:p w:rsidR="00795239" w:rsidRDefault="00795239" w:rsidP="000A1649">
      <w:pPr>
        <w:spacing w:after="0"/>
        <w:jc w:val="both"/>
      </w:pPr>
    </w:p>
    <w:p w:rsidR="00795239" w:rsidRDefault="00795239" w:rsidP="000A1649">
      <w:pPr>
        <w:spacing w:after="0"/>
        <w:jc w:val="both"/>
      </w:pPr>
      <w:r>
        <w:rPr>
          <w:u w:val="single"/>
        </w:rPr>
        <w:t>Protéines sécrétées et enzymes :</w:t>
      </w:r>
    </w:p>
    <w:p w:rsidR="00775483" w:rsidRDefault="00795239" w:rsidP="000A1649">
      <w:pPr>
        <w:spacing w:after="0"/>
        <w:jc w:val="both"/>
      </w:pPr>
      <w:r>
        <w:t>-Les protéines sécrétées apparaissent essentiellement à 16h en présence d’extrait végétaux.</w:t>
      </w:r>
    </w:p>
    <w:p w:rsidR="00775483" w:rsidRDefault="00775483" w:rsidP="000A1649">
      <w:pPr>
        <w:spacing w:after="0"/>
        <w:jc w:val="both"/>
      </w:pPr>
      <w:r>
        <w:t xml:space="preserve">-Seulement 3 gènes de virulence : si on fait un KO d’un de ces gènes on a un effet sur le processus infectieux : </w:t>
      </w:r>
      <w:proofErr w:type="spellStart"/>
      <w:r>
        <w:t>cf</w:t>
      </w:r>
      <w:proofErr w:type="spellEnd"/>
      <w:r>
        <w:t xml:space="preserve"> diapo.</w:t>
      </w:r>
    </w:p>
    <w:p w:rsidR="00775483" w:rsidRDefault="00775483" w:rsidP="000A1649">
      <w:pPr>
        <w:spacing w:after="0"/>
        <w:jc w:val="both"/>
      </w:pPr>
      <w:r>
        <w:t xml:space="preserve">-SDS PAGE 2D : spot 3 </w:t>
      </w:r>
      <w:proofErr w:type="spellStart"/>
      <w:r>
        <w:t>apartyl</w:t>
      </w:r>
      <w:proofErr w:type="spellEnd"/>
      <w:r>
        <w:t xml:space="preserve"> transférase</w:t>
      </w:r>
      <w:r>
        <w:sym w:font="Wingdings" w:char="F0E0"/>
      </w:r>
      <w:r>
        <w:t xml:space="preserve"> spot </w:t>
      </w:r>
      <w:proofErr w:type="spellStart"/>
      <w:r>
        <w:t>domiant</w:t>
      </w:r>
      <w:proofErr w:type="spellEnd"/>
      <w:r>
        <w:t xml:space="preserve"> </w:t>
      </w:r>
      <w:proofErr w:type="spellStart"/>
      <w:r>
        <w:t>représentatn</w:t>
      </w:r>
      <w:proofErr w:type="spellEnd"/>
      <w:r>
        <w:t xml:space="preserve"> 23% des protéines. Le spot 8 : dégradation de pectine de la plante.</w:t>
      </w:r>
    </w:p>
    <w:p w:rsidR="00775483" w:rsidRDefault="00775483" w:rsidP="000A1649">
      <w:pPr>
        <w:spacing w:after="0"/>
        <w:jc w:val="both"/>
      </w:pPr>
      <w:r>
        <w:t xml:space="preserve">-Redondance des gènes et des protéines </w:t>
      </w:r>
      <w:r>
        <w:sym w:font="Wingdings" w:char="F0E0"/>
      </w:r>
      <w:r>
        <w:t xml:space="preserve"> polyphagie ? </w:t>
      </w:r>
    </w:p>
    <w:p w:rsidR="00775483" w:rsidRDefault="00775483" w:rsidP="000A1649">
      <w:pPr>
        <w:spacing w:after="0"/>
        <w:jc w:val="both"/>
      </w:pPr>
    </w:p>
    <w:p w:rsidR="00EF47BD" w:rsidRPr="00775483" w:rsidRDefault="00775483" w:rsidP="000A1649">
      <w:pPr>
        <w:spacing w:after="0"/>
        <w:jc w:val="both"/>
        <w:rPr>
          <w:u w:val="single"/>
        </w:rPr>
      </w:pPr>
      <w:r w:rsidRPr="00775483">
        <w:rPr>
          <w:u w:val="single"/>
        </w:rPr>
        <w:t xml:space="preserve">Dégradation de la pectine : </w:t>
      </w:r>
      <w:r w:rsidR="00795239" w:rsidRPr="00775483">
        <w:rPr>
          <w:u w:val="single"/>
        </w:rPr>
        <w:t xml:space="preserve"> </w:t>
      </w:r>
      <w:r w:rsidR="00625723" w:rsidRPr="00775483">
        <w:rPr>
          <w:u w:val="single"/>
        </w:rPr>
        <w:t xml:space="preserve"> </w:t>
      </w:r>
    </w:p>
    <w:p w:rsidR="000A1649" w:rsidRDefault="00775483" w:rsidP="004F785C">
      <w:pPr>
        <w:spacing w:after="0"/>
        <w:jc w:val="both"/>
      </w:pPr>
      <w:r>
        <w:t xml:space="preserve">-Génère des OGA : </w:t>
      </w:r>
      <w:proofErr w:type="spellStart"/>
      <w:r>
        <w:t>OligoGAlacturonides</w:t>
      </w:r>
      <w:proofErr w:type="spellEnd"/>
      <w:r>
        <w:t>. Ces molécules sont des molécules-signales.</w:t>
      </w:r>
    </w:p>
    <w:p w:rsidR="00775483" w:rsidRDefault="00775483" w:rsidP="004F785C">
      <w:pPr>
        <w:spacing w:after="0"/>
        <w:jc w:val="both"/>
      </w:pPr>
      <w:r>
        <w:t xml:space="preserve">-Provoquent un efflux de potassium, </w:t>
      </w:r>
      <w:proofErr w:type="spellStart"/>
      <w:r>
        <w:t>phospho</w:t>
      </w:r>
      <w:proofErr w:type="spellEnd"/>
      <w:r>
        <w:t xml:space="preserve"> de protéines, dépolarisation de la membrane plasmique. </w:t>
      </w:r>
      <w:proofErr w:type="spellStart"/>
      <w:r>
        <w:t>Phospho</w:t>
      </w:r>
      <w:proofErr w:type="spellEnd"/>
      <w:r>
        <w:t xml:space="preserve"> de protéine : induction de la transcription de gènes de défense de la plante.</w:t>
      </w:r>
    </w:p>
    <w:p w:rsidR="00775483" w:rsidRDefault="003C578E" w:rsidP="004F785C">
      <w:pPr>
        <w:spacing w:after="0"/>
        <w:jc w:val="both"/>
      </w:pPr>
      <w:r>
        <w:t xml:space="preserve">-Les plantes produisent des </w:t>
      </w:r>
      <w:proofErr w:type="spellStart"/>
      <w:r>
        <w:rPr>
          <w:b/>
        </w:rPr>
        <w:t>PGIPs</w:t>
      </w:r>
      <w:proofErr w:type="spellEnd"/>
      <w:r>
        <w:t>, les petits triangles qui forment des complexes avec les enzymes fongiques afin de limiter leurs effets.</w:t>
      </w:r>
    </w:p>
    <w:p w:rsidR="003C578E" w:rsidRDefault="003C578E" w:rsidP="004F785C">
      <w:pPr>
        <w:spacing w:after="0"/>
        <w:jc w:val="both"/>
      </w:pPr>
      <w:r>
        <w:t>-Les plantes sont donc équipées pour lutter contre le champi.</w:t>
      </w:r>
    </w:p>
    <w:p w:rsidR="003C578E" w:rsidRPr="003C578E" w:rsidRDefault="003C578E" w:rsidP="004F785C">
      <w:pPr>
        <w:spacing w:after="0"/>
        <w:jc w:val="both"/>
      </w:pPr>
      <w:bookmarkStart w:id="0" w:name="_GoBack"/>
      <w:bookmarkEnd w:id="0"/>
    </w:p>
    <w:sectPr w:rsidR="003C578E" w:rsidRPr="003C5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85C"/>
    <w:rsid w:val="000A1649"/>
    <w:rsid w:val="001F4029"/>
    <w:rsid w:val="003C578E"/>
    <w:rsid w:val="004F785C"/>
    <w:rsid w:val="00625723"/>
    <w:rsid w:val="00775483"/>
    <w:rsid w:val="00795239"/>
    <w:rsid w:val="00A2207B"/>
    <w:rsid w:val="00AB00E5"/>
    <w:rsid w:val="00B50474"/>
    <w:rsid w:val="00CB6BAD"/>
    <w:rsid w:val="00EF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6009A-9882-4948-80C4-64A10707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875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5</cp:revision>
  <dcterms:created xsi:type="dcterms:W3CDTF">2013-04-09T13:32:00Z</dcterms:created>
  <dcterms:modified xsi:type="dcterms:W3CDTF">2013-04-15T07:20:00Z</dcterms:modified>
</cp:coreProperties>
</file>